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57" w:rsidRDefault="002C4C57">
      <w:pPr>
        <w:pStyle w:val="BodyText"/>
        <w:spacing w:before="2"/>
        <w:rPr>
          <w:rFonts w:ascii="Times New Roman"/>
          <w:sz w:val="17"/>
        </w:rPr>
      </w:pPr>
    </w:p>
    <w:p w:rsidR="002C4C57" w:rsidRDefault="00430135">
      <w:pPr>
        <w:pStyle w:val="Title"/>
        <w:spacing w:line="259" w:lineRule="auto"/>
      </w:pPr>
      <w:r>
        <w:rPr>
          <w:color w:val="5B9BD4"/>
        </w:rPr>
        <w:t>DETAILS OF FAMILARISATION PROGRAMME FOR INDEPENDENT DIRECTORS</w:t>
      </w:r>
      <w:r>
        <w:rPr>
          <w:color w:val="5B9BD4"/>
          <w:spacing w:val="-59"/>
        </w:rPr>
        <w:t xml:space="preserve"> </w:t>
      </w:r>
      <w:r>
        <w:rPr>
          <w:color w:val="5B9BD4"/>
        </w:rPr>
        <w:t>DURING</w:t>
      </w:r>
      <w:r>
        <w:rPr>
          <w:color w:val="5B9BD4"/>
          <w:spacing w:val="1"/>
        </w:rPr>
        <w:t xml:space="preserve"> </w:t>
      </w:r>
      <w:r w:rsidR="00D94484">
        <w:rPr>
          <w:color w:val="5B9BD4"/>
        </w:rPr>
        <w:t>FINANCIAL YEAR 2021</w:t>
      </w:r>
      <w:r>
        <w:rPr>
          <w:color w:val="5B9BD4"/>
        </w:rPr>
        <w:t>-22</w:t>
      </w:r>
    </w:p>
    <w:p w:rsidR="002C4C57" w:rsidRDefault="002C4C57">
      <w:pPr>
        <w:pStyle w:val="BodyText"/>
        <w:spacing w:before="10"/>
        <w:rPr>
          <w:rFonts w:ascii="Arial"/>
          <w:b/>
          <w:sz w:val="23"/>
        </w:rPr>
      </w:pPr>
    </w:p>
    <w:p w:rsidR="002C4C57" w:rsidRDefault="00430135">
      <w:pPr>
        <w:spacing w:line="259" w:lineRule="auto"/>
        <w:ind w:left="451" w:right="513"/>
        <w:jc w:val="center"/>
        <w:rPr>
          <w:rFonts w:ascii="Arial"/>
          <w:i/>
        </w:rPr>
      </w:pPr>
      <w:r>
        <w:rPr>
          <w:rFonts w:ascii="Arial"/>
          <w:i/>
        </w:rPr>
        <w:t>[Pursuant to Regulations 25(7) and 46 (2) of SEBI (Listing Obligations and Disclosure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Requirements) Regulations,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2015]</w:t>
      </w:r>
    </w:p>
    <w:p w:rsidR="002C4C57" w:rsidRDefault="002C4C57">
      <w:pPr>
        <w:pStyle w:val="BodyText"/>
        <w:spacing w:before="7"/>
        <w:rPr>
          <w:rFonts w:ascii="Arial"/>
          <w:i/>
          <w:sz w:val="23"/>
        </w:rPr>
      </w:pPr>
    </w:p>
    <w:p w:rsidR="002C4C57" w:rsidRDefault="00430135">
      <w:pPr>
        <w:pStyle w:val="BodyText"/>
        <w:spacing w:line="259" w:lineRule="auto"/>
        <w:ind w:left="100" w:right="159"/>
        <w:jc w:val="both"/>
      </w:pP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familiarisation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 Directors, not only to have greater insight into Company’s business but also</w:t>
      </w:r>
      <w:r>
        <w:rPr>
          <w:spacing w:val="1"/>
        </w:rPr>
        <w:t xml:space="preserve"> </w:t>
      </w:r>
      <w:r>
        <w:t>contributes effectively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decision making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meetings.</w:t>
      </w:r>
    </w:p>
    <w:p w:rsidR="002C4C57" w:rsidRDefault="002C4C57">
      <w:pPr>
        <w:pStyle w:val="BodyText"/>
        <w:spacing w:before="8"/>
        <w:rPr>
          <w:sz w:val="23"/>
        </w:rPr>
      </w:pPr>
    </w:p>
    <w:p w:rsidR="002C4C57" w:rsidRDefault="00CB5A47">
      <w:pPr>
        <w:pStyle w:val="BodyText"/>
        <w:spacing w:line="259" w:lineRule="auto"/>
        <w:ind w:left="100" w:right="156"/>
        <w:jc w:val="both"/>
      </w:pPr>
      <w:r>
        <w:t>I</w:t>
      </w:r>
      <w:r w:rsidR="00430135">
        <w:t>t is important that the Independent Directors are well versed with</w:t>
      </w:r>
      <w:r w:rsidR="00430135">
        <w:rPr>
          <w:spacing w:val="1"/>
        </w:rPr>
        <w:t xml:space="preserve"> </w:t>
      </w:r>
      <w:r w:rsidR="00430135">
        <w:t>the</w:t>
      </w:r>
      <w:r w:rsidR="00430135">
        <w:rPr>
          <w:spacing w:val="-9"/>
        </w:rPr>
        <w:t xml:space="preserve"> </w:t>
      </w:r>
      <w:r w:rsidR="00430135">
        <w:t>business</w:t>
      </w:r>
      <w:r w:rsidR="00430135">
        <w:rPr>
          <w:spacing w:val="-11"/>
        </w:rPr>
        <w:t xml:space="preserve"> </w:t>
      </w:r>
      <w:r w:rsidR="00430135">
        <w:t>and</w:t>
      </w:r>
      <w:r w:rsidR="00430135">
        <w:rPr>
          <w:spacing w:val="-10"/>
        </w:rPr>
        <w:t xml:space="preserve"> </w:t>
      </w:r>
      <w:r w:rsidR="00430135">
        <w:t>related</w:t>
      </w:r>
      <w:r w:rsidR="00430135">
        <w:rPr>
          <w:spacing w:val="-11"/>
        </w:rPr>
        <w:t xml:space="preserve"> </w:t>
      </w:r>
      <w:r w:rsidR="00430135">
        <w:t>activities,</w:t>
      </w:r>
      <w:r w:rsidR="00430135">
        <w:rPr>
          <w:spacing w:val="-7"/>
        </w:rPr>
        <w:t xml:space="preserve"> </w:t>
      </w:r>
      <w:r w:rsidR="00430135">
        <w:t>including</w:t>
      </w:r>
      <w:r w:rsidR="00430135">
        <w:rPr>
          <w:spacing w:val="-7"/>
        </w:rPr>
        <w:t xml:space="preserve"> </w:t>
      </w:r>
      <w:r w:rsidR="00430135">
        <w:t>but</w:t>
      </w:r>
      <w:r w:rsidR="00430135">
        <w:rPr>
          <w:spacing w:val="-8"/>
        </w:rPr>
        <w:t xml:space="preserve"> </w:t>
      </w:r>
      <w:r w:rsidR="00430135">
        <w:t>not</w:t>
      </w:r>
      <w:r w:rsidR="00430135">
        <w:rPr>
          <w:spacing w:val="-7"/>
        </w:rPr>
        <w:t xml:space="preserve"> </w:t>
      </w:r>
      <w:r w:rsidR="00430135">
        <w:t>limited</w:t>
      </w:r>
      <w:r w:rsidR="00430135">
        <w:rPr>
          <w:spacing w:val="-12"/>
        </w:rPr>
        <w:t xml:space="preserve"> </w:t>
      </w:r>
      <w:r w:rsidR="00430135">
        <w:t>to</w:t>
      </w:r>
      <w:r w:rsidR="00430135">
        <w:rPr>
          <w:spacing w:val="-10"/>
        </w:rPr>
        <w:t xml:space="preserve"> </w:t>
      </w:r>
      <w:r w:rsidR="00430135">
        <w:t>the</w:t>
      </w:r>
      <w:r w:rsidR="00430135">
        <w:rPr>
          <w:spacing w:val="-9"/>
        </w:rPr>
        <w:t xml:space="preserve"> </w:t>
      </w:r>
      <w:r w:rsidR="00430135">
        <w:t>nature</w:t>
      </w:r>
      <w:r w:rsidR="00430135">
        <w:rPr>
          <w:spacing w:val="-10"/>
        </w:rPr>
        <w:t xml:space="preserve"> </w:t>
      </w:r>
      <w:r w:rsidR="00430135">
        <w:t>of</w:t>
      </w:r>
      <w:r w:rsidR="00430135">
        <w:rPr>
          <w:spacing w:val="-10"/>
        </w:rPr>
        <w:t xml:space="preserve"> </w:t>
      </w:r>
      <w:r w:rsidR="00430135">
        <w:t>industry,</w:t>
      </w:r>
      <w:r w:rsidR="00430135">
        <w:rPr>
          <w:spacing w:val="-7"/>
        </w:rPr>
        <w:t xml:space="preserve"> </w:t>
      </w:r>
      <w:r w:rsidR="00430135">
        <w:t>products,</w:t>
      </w:r>
      <w:r w:rsidR="00430135">
        <w:rPr>
          <w:spacing w:val="-59"/>
        </w:rPr>
        <w:t xml:space="preserve"> </w:t>
      </w:r>
      <w:r w:rsidR="00430135">
        <w:t>markets,</w:t>
      </w:r>
      <w:r w:rsidR="00430135">
        <w:rPr>
          <w:spacing w:val="-11"/>
        </w:rPr>
        <w:t xml:space="preserve"> </w:t>
      </w:r>
      <w:r w:rsidR="003D5532">
        <w:t>operations</w:t>
      </w:r>
      <w:r w:rsidR="00430135">
        <w:rPr>
          <w:spacing w:val="-14"/>
        </w:rPr>
        <w:t xml:space="preserve"> </w:t>
      </w:r>
      <w:r w:rsidR="00430135">
        <w:t>and</w:t>
      </w:r>
      <w:r w:rsidR="00430135">
        <w:rPr>
          <w:spacing w:val="-12"/>
        </w:rPr>
        <w:t xml:space="preserve"> </w:t>
      </w:r>
      <w:r w:rsidR="00430135">
        <w:t>its</w:t>
      </w:r>
      <w:r w:rsidR="00430135">
        <w:rPr>
          <w:spacing w:val="-13"/>
        </w:rPr>
        <w:t xml:space="preserve"> </w:t>
      </w:r>
      <w:r w:rsidR="00430135">
        <w:t>businesses,</w:t>
      </w:r>
      <w:r w:rsidR="00430135">
        <w:rPr>
          <w:spacing w:val="-11"/>
        </w:rPr>
        <w:t xml:space="preserve"> </w:t>
      </w:r>
      <w:r w:rsidR="00430135">
        <w:t>policies,</w:t>
      </w:r>
      <w:r w:rsidR="00430135">
        <w:rPr>
          <w:spacing w:val="-13"/>
        </w:rPr>
        <w:t xml:space="preserve"> </w:t>
      </w:r>
      <w:r w:rsidR="00430135">
        <w:t>regulatory</w:t>
      </w:r>
      <w:r w:rsidR="00430135">
        <w:rPr>
          <w:spacing w:val="-14"/>
        </w:rPr>
        <w:t xml:space="preserve"> </w:t>
      </w:r>
      <w:r w:rsidR="00430135">
        <w:t>aspects</w:t>
      </w:r>
      <w:r w:rsidR="00430135">
        <w:rPr>
          <w:spacing w:val="-11"/>
        </w:rPr>
        <w:t xml:space="preserve"> </w:t>
      </w:r>
      <w:r w:rsidR="00430135">
        <w:t>affecting</w:t>
      </w:r>
      <w:r w:rsidR="00430135">
        <w:rPr>
          <w:spacing w:val="-13"/>
        </w:rPr>
        <w:t xml:space="preserve"> </w:t>
      </w:r>
      <w:r w:rsidR="00430135">
        <w:t>the</w:t>
      </w:r>
      <w:r w:rsidR="00430135">
        <w:rPr>
          <w:spacing w:val="-59"/>
        </w:rPr>
        <w:t xml:space="preserve"> </w:t>
      </w:r>
      <w:r w:rsidR="00430135">
        <w:t>Company, etc. This is achieved through a structured familiarisation plan. Certain programme</w:t>
      </w:r>
      <w:r w:rsidR="00430135">
        <w:rPr>
          <w:spacing w:val="-59"/>
        </w:rPr>
        <w:t xml:space="preserve"> </w:t>
      </w:r>
      <w:r w:rsidR="00430135">
        <w:t>activities</w:t>
      </w:r>
      <w:r w:rsidR="00430135">
        <w:rPr>
          <w:spacing w:val="-11"/>
        </w:rPr>
        <w:t xml:space="preserve"> </w:t>
      </w:r>
      <w:r w:rsidR="00430135">
        <w:t>are</w:t>
      </w:r>
      <w:r w:rsidR="00430135">
        <w:rPr>
          <w:spacing w:val="-10"/>
        </w:rPr>
        <w:t xml:space="preserve"> </w:t>
      </w:r>
      <w:r w:rsidR="00430135">
        <w:t>merged</w:t>
      </w:r>
      <w:r w:rsidR="00430135">
        <w:rPr>
          <w:spacing w:val="-12"/>
        </w:rPr>
        <w:t xml:space="preserve"> </w:t>
      </w:r>
      <w:r w:rsidR="00430135">
        <w:t>with</w:t>
      </w:r>
      <w:r w:rsidR="00430135">
        <w:rPr>
          <w:spacing w:val="-11"/>
        </w:rPr>
        <w:t xml:space="preserve"> </w:t>
      </w:r>
      <w:r w:rsidR="00430135">
        <w:t>the</w:t>
      </w:r>
      <w:r w:rsidR="00430135">
        <w:rPr>
          <w:spacing w:val="-12"/>
        </w:rPr>
        <w:t xml:space="preserve"> </w:t>
      </w:r>
      <w:r w:rsidR="00430135">
        <w:t>Board/Committee</w:t>
      </w:r>
      <w:r w:rsidR="00430135">
        <w:rPr>
          <w:spacing w:val="-14"/>
        </w:rPr>
        <w:t xml:space="preserve"> </w:t>
      </w:r>
      <w:r w:rsidR="00430135">
        <w:t>meetings</w:t>
      </w:r>
      <w:r w:rsidR="00430135">
        <w:rPr>
          <w:spacing w:val="-11"/>
        </w:rPr>
        <w:t xml:space="preserve"> </w:t>
      </w:r>
      <w:r w:rsidR="00430135">
        <w:t>to</w:t>
      </w:r>
      <w:r w:rsidR="00430135">
        <w:rPr>
          <w:spacing w:val="-14"/>
        </w:rPr>
        <w:t xml:space="preserve"> </w:t>
      </w:r>
      <w:r w:rsidR="00430135">
        <w:t>suit</w:t>
      </w:r>
      <w:r w:rsidR="00430135">
        <w:rPr>
          <w:spacing w:val="-12"/>
        </w:rPr>
        <w:t xml:space="preserve"> </w:t>
      </w:r>
      <w:r w:rsidR="00430135">
        <w:t>the</w:t>
      </w:r>
      <w:r w:rsidR="00430135">
        <w:rPr>
          <w:spacing w:val="-12"/>
        </w:rPr>
        <w:t xml:space="preserve"> </w:t>
      </w:r>
      <w:r w:rsidR="00430135">
        <w:t>convenience</w:t>
      </w:r>
      <w:r w:rsidR="00430135">
        <w:rPr>
          <w:spacing w:val="-11"/>
        </w:rPr>
        <w:t xml:space="preserve"> </w:t>
      </w:r>
      <w:r w:rsidR="00430135">
        <w:t>of</w:t>
      </w:r>
      <w:r w:rsidR="00430135">
        <w:rPr>
          <w:spacing w:val="-8"/>
        </w:rPr>
        <w:t xml:space="preserve"> </w:t>
      </w:r>
      <w:r w:rsidR="00430135">
        <w:t>Directors.</w:t>
      </w:r>
      <w:r w:rsidR="00C87C8B">
        <w:t xml:space="preserve"> </w:t>
      </w:r>
      <w:r w:rsidR="00430135">
        <w:rPr>
          <w:spacing w:val="-58"/>
        </w:rPr>
        <w:t xml:space="preserve"> </w:t>
      </w:r>
      <w:r w:rsidR="00430135">
        <w:t>Also, individual</w:t>
      </w:r>
      <w:r w:rsidR="00430135">
        <w:rPr>
          <w:spacing w:val="-1"/>
        </w:rPr>
        <w:t xml:space="preserve"> </w:t>
      </w:r>
      <w:r w:rsidR="00430135">
        <w:t>programs</w:t>
      </w:r>
      <w:r w:rsidR="00430135">
        <w:rPr>
          <w:spacing w:val="1"/>
        </w:rPr>
        <w:t xml:space="preserve"> </w:t>
      </w:r>
      <w:r w:rsidR="00430135">
        <w:t>are</w:t>
      </w:r>
      <w:r w:rsidR="00430135">
        <w:rPr>
          <w:spacing w:val="-3"/>
        </w:rPr>
        <w:t xml:space="preserve"> </w:t>
      </w:r>
      <w:r w:rsidR="00430135">
        <w:t>conducted separately,</w:t>
      </w:r>
      <w:r w:rsidR="00430135">
        <w:rPr>
          <w:spacing w:val="1"/>
        </w:rPr>
        <w:t xml:space="preserve"> </w:t>
      </w:r>
      <w:r w:rsidR="00430135">
        <w:t>as</w:t>
      </w:r>
      <w:r w:rsidR="00430135">
        <w:rPr>
          <w:spacing w:val="-1"/>
        </w:rPr>
        <w:t xml:space="preserve"> </w:t>
      </w:r>
      <w:r w:rsidR="00430135">
        <w:t>and when</w:t>
      </w:r>
      <w:r w:rsidR="00430135">
        <w:rPr>
          <w:spacing w:val="-1"/>
        </w:rPr>
        <w:t xml:space="preserve"> </w:t>
      </w:r>
      <w:r w:rsidR="00430135">
        <w:t>required.</w:t>
      </w:r>
    </w:p>
    <w:p w:rsidR="002C4C57" w:rsidRDefault="002C4C57">
      <w:pPr>
        <w:pStyle w:val="BodyText"/>
        <w:spacing w:before="8"/>
        <w:rPr>
          <w:sz w:val="23"/>
        </w:rPr>
      </w:pPr>
    </w:p>
    <w:p w:rsidR="002C4C57" w:rsidRDefault="00430135">
      <w:pPr>
        <w:pStyle w:val="BodyText"/>
        <w:spacing w:line="259" w:lineRule="auto"/>
        <w:ind w:left="100" w:right="153"/>
        <w:jc w:val="both"/>
      </w:pPr>
      <w:r>
        <w:t xml:space="preserve">Majority of the Independent Directors of the Company are associated with </w:t>
      </w:r>
      <w:r w:rsidR="00D94484">
        <w:t>SPL</w:t>
      </w:r>
      <w:r>
        <w:t xml:space="preserve"> for more</w:t>
      </w:r>
      <w:r>
        <w:rPr>
          <w:spacing w:val="1"/>
        </w:rPr>
        <w:t xml:space="preserve"> </w:t>
      </w:r>
      <w:r w:rsidR="00D94484">
        <w:t>than 5</w:t>
      </w:r>
      <w:r>
        <w:t xml:space="preserve"> years and are well versed with the industry, business operations, policies/ practices of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2C4C57" w:rsidRDefault="002C4C57">
      <w:pPr>
        <w:pStyle w:val="BodyText"/>
        <w:spacing w:before="8"/>
        <w:rPr>
          <w:sz w:val="23"/>
        </w:rPr>
      </w:pPr>
    </w:p>
    <w:p w:rsidR="002C4C57" w:rsidRDefault="00430135">
      <w:pPr>
        <w:pStyle w:val="BodyText"/>
        <w:spacing w:line="259" w:lineRule="auto"/>
        <w:ind w:left="100" w:right="162"/>
        <w:jc w:val="both"/>
      </w:pPr>
      <w:r>
        <w:t>The familiarisation programme for Independent Directors is prepared in consultation with the</w:t>
      </w:r>
      <w:r>
        <w:rPr>
          <w:spacing w:val="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 after</w:t>
      </w:r>
      <w:r>
        <w:rPr>
          <w:spacing w:val="-2"/>
        </w:rPr>
        <w:t xml:space="preserve"> </w:t>
      </w:r>
      <w:r>
        <w:t>making an</w:t>
      </w:r>
      <w:r>
        <w:rPr>
          <w:spacing w:val="3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requirements.</w:t>
      </w:r>
    </w:p>
    <w:p w:rsidR="002C4C57" w:rsidRDefault="002C4C57">
      <w:pPr>
        <w:pStyle w:val="BodyText"/>
        <w:spacing w:before="10"/>
        <w:rPr>
          <w:sz w:val="23"/>
        </w:rPr>
      </w:pPr>
    </w:p>
    <w:p w:rsidR="002C4C57" w:rsidRDefault="00430135">
      <w:pPr>
        <w:pStyle w:val="BodyText"/>
        <w:spacing w:line="259" w:lineRule="auto"/>
        <w:ind w:left="100" w:right="156"/>
        <w:jc w:val="both"/>
      </w:pPr>
      <w:r>
        <w:t>Need for familiarisation is also identified through Directors’ performance evaluation process.</w:t>
      </w:r>
      <w:r>
        <w:rPr>
          <w:spacing w:val="1"/>
        </w:rPr>
        <w:t xml:space="preserve"> </w:t>
      </w:r>
      <w:r>
        <w:t>Familiarisation is achieved through broad-based engagement, under which various business</w:t>
      </w:r>
      <w:r>
        <w:rPr>
          <w:spacing w:val="-59"/>
        </w:rPr>
        <w:t xml:space="preserve"> </w:t>
      </w:r>
      <w:r>
        <w:t>heads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heads</w:t>
      </w:r>
      <w:r>
        <w:rPr>
          <w:spacing w:val="-5"/>
        </w:rPr>
        <w:t xml:space="preserve"> </w:t>
      </w:r>
      <w:bookmarkStart w:id="0" w:name="_GoBack"/>
      <w:bookmarkEnd w:id="0"/>
      <w:r>
        <w:t>are</w:t>
      </w:r>
      <w:r>
        <w:rPr>
          <w:spacing w:val="-5"/>
        </w:rPr>
        <w:t xml:space="preserve"> </w:t>
      </w:r>
      <w:r>
        <w:t>invited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group/one-on-</w:t>
      </w:r>
      <w:r>
        <w:rPr>
          <w:spacing w:val="-5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interaction with the</w:t>
      </w:r>
      <w:r>
        <w:rPr>
          <w:spacing w:val="-2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Directors.</w:t>
      </w:r>
    </w:p>
    <w:p w:rsidR="002C4C57" w:rsidRDefault="002C4C57">
      <w:pPr>
        <w:pStyle w:val="BodyText"/>
        <w:spacing w:before="6"/>
        <w:rPr>
          <w:sz w:val="23"/>
        </w:rPr>
      </w:pPr>
    </w:p>
    <w:p w:rsidR="002C4C57" w:rsidRDefault="00430135">
      <w:pPr>
        <w:pStyle w:val="BodyText"/>
        <w:spacing w:line="259" w:lineRule="auto"/>
        <w:ind w:left="100" w:right="157"/>
        <w:jc w:val="both"/>
      </w:pPr>
      <w:r>
        <w:t>Regular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are</w:t>
      </w:r>
      <w:r w:rsidR="00DF3096"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</w:t>
      </w:r>
      <w:r>
        <w:rPr>
          <w:spacing w:val="-59"/>
        </w:rPr>
        <w:t xml:space="preserve"> </w:t>
      </w:r>
      <w:r>
        <w:t>directors.</w:t>
      </w:r>
      <w:r>
        <w:rPr>
          <w:spacing w:val="-5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statutory,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landmark</w:t>
      </w:r>
      <w:r>
        <w:rPr>
          <w:spacing w:val="-59"/>
        </w:rPr>
        <w:t xml:space="preserve"> </w:t>
      </w:r>
      <w:r>
        <w:t>judicial pronouncements encompassing important laws are circulated to the Directors. The</w:t>
      </w:r>
      <w:r>
        <w:rPr>
          <w:spacing w:val="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informed of</w:t>
      </w:r>
      <w:r>
        <w:rPr>
          <w:spacing w:val="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Company.</w:t>
      </w:r>
    </w:p>
    <w:p w:rsidR="002C4C57" w:rsidRDefault="002C4C57">
      <w:pPr>
        <w:pStyle w:val="BodyText"/>
        <w:spacing w:before="8"/>
        <w:rPr>
          <w:sz w:val="23"/>
        </w:rPr>
      </w:pPr>
    </w:p>
    <w:p w:rsidR="002C4C57" w:rsidRDefault="00430135">
      <w:pPr>
        <w:pStyle w:val="BodyText"/>
        <w:spacing w:before="1" w:line="259" w:lineRule="auto"/>
        <w:ind w:left="100" w:right="155"/>
        <w:jc w:val="both"/>
      </w:pPr>
      <w:r>
        <w:t>The induction kit for new directors includes annual reports, memorandum and articles of</w:t>
      </w:r>
      <w:r>
        <w:rPr>
          <w:spacing w:val="1"/>
        </w:rPr>
        <w:t xml:space="preserve"> </w:t>
      </w:r>
      <w:r>
        <w:t>association of the Company, Code of Conduct and other corporate governance policies,</w:t>
      </w:r>
      <w:r>
        <w:rPr>
          <w:spacing w:val="1"/>
        </w:rPr>
        <w:t xml:space="preserve"> </w:t>
      </w:r>
      <w:r>
        <w:t>composition of various board committees along with their terms of reference etc. including</w:t>
      </w:r>
      <w:r>
        <w:rPr>
          <w:spacing w:val="1"/>
        </w:rPr>
        <w:t xml:space="preserve"> </w:t>
      </w:r>
      <w:r>
        <w:t>guidance 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framework.</w:t>
      </w:r>
    </w:p>
    <w:p w:rsidR="002C4C57" w:rsidRDefault="002C4C57">
      <w:pPr>
        <w:spacing w:line="259" w:lineRule="auto"/>
        <w:jc w:val="both"/>
        <w:sectPr w:rsidR="002C4C57">
          <w:headerReference w:type="default" r:id="rId7"/>
          <w:footerReference w:type="default" r:id="rId8"/>
          <w:type w:val="continuous"/>
          <w:pgSz w:w="11910" w:h="16840"/>
          <w:pgMar w:top="1460" w:right="1280" w:bottom="1200" w:left="1340" w:header="271" w:footer="1000" w:gutter="0"/>
          <w:pgNumType w:start="1"/>
          <w:cols w:space="720"/>
        </w:sectPr>
      </w:pPr>
    </w:p>
    <w:p w:rsidR="002C4C57" w:rsidRDefault="00430135">
      <w:pPr>
        <w:pStyle w:val="BodyText"/>
        <w:spacing w:before="20"/>
        <w:ind w:left="100"/>
      </w:pPr>
      <w:r>
        <w:rPr>
          <w:spacing w:val="-1"/>
        </w:rPr>
        <w:lastRenderedPageBreak/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year,</w:t>
      </w:r>
      <w:r>
        <w:rPr>
          <w:spacing w:val="-14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areas</w:t>
      </w:r>
      <w:r>
        <w:rPr>
          <w:spacing w:val="-15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topics</w:t>
      </w:r>
      <w:r>
        <w:rPr>
          <w:spacing w:val="-12"/>
        </w:rPr>
        <w:t xml:space="preserve"> </w:t>
      </w:r>
      <w:r>
        <w:t>were</w:t>
      </w:r>
      <w:r w:rsidR="00DF3096">
        <w:t xml:space="preserve"> </w:t>
      </w:r>
      <w:r>
        <w:t>covered</w:t>
      </w:r>
      <w:r>
        <w:rPr>
          <w:spacing w:val="-12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familiarisation</w:t>
      </w:r>
      <w:r>
        <w:rPr>
          <w:spacing w:val="-14"/>
        </w:rPr>
        <w:t xml:space="preserve"> </w:t>
      </w:r>
      <w:r>
        <w:t>program:</w:t>
      </w:r>
    </w:p>
    <w:p w:rsidR="002C4C57" w:rsidRDefault="002C4C57">
      <w:pPr>
        <w:pStyle w:val="BodyText"/>
        <w:spacing w:before="7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3671"/>
        <w:gridCol w:w="2067"/>
        <w:gridCol w:w="1702"/>
      </w:tblGrid>
      <w:tr w:rsidR="002C4C57">
        <w:trPr>
          <w:trHeight w:val="282"/>
        </w:trPr>
        <w:tc>
          <w:tcPr>
            <w:tcW w:w="1630" w:type="dxa"/>
          </w:tcPr>
          <w:p w:rsidR="002C4C57" w:rsidRDefault="00430135">
            <w:pPr>
              <w:pStyle w:val="TableParagraph"/>
              <w:spacing w:before="9"/>
              <w:ind w:left="159" w:right="155" w:firstLine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Area</w:t>
            </w:r>
          </w:p>
        </w:tc>
        <w:tc>
          <w:tcPr>
            <w:tcW w:w="3671" w:type="dxa"/>
          </w:tcPr>
          <w:p w:rsidR="002C4C57" w:rsidRDefault="00430135">
            <w:pPr>
              <w:pStyle w:val="TableParagraph"/>
              <w:spacing w:line="248" w:lineRule="exact"/>
              <w:ind w:left="107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Topics</w:t>
            </w:r>
          </w:p>
        </w:tc>
        <w:tc>
          <w:tcPr>
            <w:tcW w:w="2067" w:type="dxa"/>
          </w:tcPr>
          <w:p w:rsidR="002C4C57" w:rsidRDefault="00430135">
            <w:pPr>
              <w:pStyle w:val="TableParagraph"/>
              <w:spacing w:line="248" w:lineRule="exact"/>
              <w:ind w:left="159" w:right="149" w:firstLine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Delivered by</w:t>
            </w:r>
          </w:p>
        </w:tc>
        <w:tc>
          <w:tcPr>
            <w:tcW w:w="1702" w:type="dxa"/>
          </w:tcPr>
          <w:p w:rsidR="002C4C57" w:rsidRDefault="00430135">
            <w:pPr>
              <w:pStyle w:val="TableParagraph"/>
              <w:spacing w:line="248" w:lineRule="exact"/>
              <w:ind w:left="562" w:firstLin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Mode</w:t>
            </w:r>
          </w:p>
        </w:tc>
      </w:tr>
      <w:tr w:rsidR="002C4C57" w:rsidTr="007439EA">
        <w:trPr>
          <w:trHeight w:val="622"/>
        </w:trPr>
        <w:tc>
          <w:tcPr>
            <w:tcW w:w="1630" w:type="dxa"/>
          </w:tcPr>
          <w:p w:rsidR="002C4C57" w:rsidRDefault="00430135">
            <w:pPr>
              <w:pStyle w:val="TableParagraph"/>
              <w:ind w:left="422" w:right="126" w:hanging="269"/>
            </w:pPr>
            <w:r>
              <w:t>Business and</w:t>
            </w:r>
            <w:r>
              <w:rPr>
                <w:spacing w:val="-59"/>
              </w:rPr>
              <w:t xml:space="preserve"> </w:t>
            </w:r>
            <w:r>
              <w:t>Industry</w:t>
            </w:r>
          </w:p>
        </w:tc>
        <w:tc>
          <w:tcPr>
            <w:tcW w:w="3671" w:type="dxa"/>
          </w:tcPr>
          <w:p w:rsidR="002C4C57" w:rsidRDefault="008E37D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52" w:lineRule="exact"/>
              <w:ind w:right="100"/>
              <w:jc w:val="both"/>
            </w:pPr>
            <w:r>
              <w:t>Real Estate Business</w:t>
            </w:r>
          </w:p>
        </w:tc>
        <w:tc>
          <w:tcPr>
            <w:tcW w:w="2067" w:type="dxa"/>
          </w:tcPr>
          <w:p w:rsidR="002C4C57" w:rsidRDefault="00430135" w:rsidP="00DF3096">
            <w:pPr>
              <w:pStyle w:val="TableParagraph"/>
              <w:ind w:left="193" w:right="180" w:firstLine="7"/>
            </w:pPr>
            <w:r>
              <w:t xml:space="preserve">CFO, </w:t>
            </w:r>
            <w:r w:rsidR="00DF3096">
              <w:t>CEO</w:t>
            </w:r>
          </w:p>
        </w:tc>
        <w:tc>
          <w:tcPr>
            <w:tcW w:w="1702" w:type="dxa"/>
          </w:tcPr>
          <w:p w:rsidR="002C4C57" w:rsidRDefault="00430135">
            <w:pPr>
              <w:pStyle w:val="TableParagraph"/>
              <w:ind w:left="315" w:right="308" w:firstLine="0"/>
              <w:jc w:val="center"/>
            </w:pPr>
            <w:r>
              <w:t>Board 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59"/>
              </w:rPr>
              <w:t xml:space="preserve"> </w:t>
            </w:r>
            <w:r>
              <w:t>Meeting,</w:t>
            </w:r>
            <w:r>
              <w:rPr>
                <w:spacing w:val="1"/>
              </w:rPr>
              <w:t xml:space="preserve"> </w:t>
            </w:r>
            <w:r>
              <w:t>periodical</w:t>
            </w:r>
            <w:r>
              <w:rPr>
                <w:spacing w:val="1"/>
              </w:rPr>
              <w:t xml:space="preserve"> </w:t>
            </w:r>
            <w:r>
              <w:t>updates</w:t>
            </w:r>
          </w:p>
        </w:tc>
      </w:tr>
      <w:tr w:rsidR="002C4C57">
        <w:trPr>
          <w:trHeight w:val="1517"/>
        </w:trPr>
        <w:tc>
          <w:tcPr>
            <w:tcW w:w="1630" w:type="dxa"/>
          </w:tcPr>
          <w:p w:rsidR="002C4C57" w:rsidRDefault="00430135" w:rsidP="008E37DC">
            <w:pPr>
              <w:pStyle w:val="TableParagraph"/>
              <w:ind w:left="379" w:right="131" w:hanging="219"/>
            </w:pPr>
            <w:r>
              <w:t>Financial</w:t>
            </w:r>
          </w:p>
        </w:tc>
        <w:tc>
          <w:tcPr>
            <w:tcW w:w="3671" w:type="dxa"/>
          </w:tcPr>
          <w:p w:rsidR="002C4C57" w:rsidRDefault="00430135" w:rsidP="00D94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903"/>
                <w:tab w:val="left" w:pos="3193"/>
              </w:tabs>
              <w:ind w:right="97"/>
            </w:pPr>
            <w:r>
              <w:t>Financial</w:t>
            </w:r>
            <w:r>
              <w:tab/>
              <w:t>Results</w:t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59"/>
              </w:rPr>
              <w:t xml:space="preserve"> </w:t>
            </w:r>
            <w:r>
              <w:t>Performance</w:t>
            </w:r>
          </w:p>
          <w:p w:rsidR="002C4C57" w:rsidRDefault="008E37DC" w:rsidP="008E37D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3" w:lineRule="exact"/>
            </w:pPr>
            <w:r>
              <w:t>L</w:t>
            </w:r>
            <w:r w:rsidR="00430135">
              <w:t>iquidity</w:t>
            </w:r>
            <w:r w:rsidR="00430135">
              <w:rPr>
                <w:spacing w:val="-5"/>
              </w:rPr>
              <w:t xml:space="preserve"> </w:t>
            </w:r>
            <w:r w:rsidR="00430135">
              <w:t>position</w:t>
            </w:r>
          </w:p>
          <w:p w:rsidR="00D94484" w:rsidRDefault="00D94484" w:rsidP="00D94484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5"/>
              <w:jc w:val="both"/>
            </w:pP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Audit</w:t>
            </w:r>
            <w:r>
              <w:rPr>
                <w:spacing w:val="1"/>
              </w:rPr>
              <w:t xml:space="preserve"> </w:t>
            </w:r>
            <w:r>
              <w:t>Plans</w:t>
            </w:r>
            <w:r>
              <w:rPr>
                <w:spacing w:val="62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findings</w:t>
            </w:r>
          </w:p>
          <w:p w:rsidR="00D94484" w:rsidRDefault="00D94484" w:rsidP="00DF309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669"/>
                <w:tab w:val="left" w:pos="2103"/>
                <w:tab w:val="left" w:pos="2962"/>
              </w:tabs>
              <w:spacing w:line="254" w:lineRule="exact"/>
              <w:ind w:right="95"/>
            </w:pP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controls</w:t>
            </w:r>
          </w:p>
        </w:tc>
        <w:tc>
          <w:tcPr>
            <w:tcW w:w="2067" w:type="dxa"/>
          </w:tcPr>
          <w:p w:rsidR="002C4C57" w:rsidRDefault="00430135">
            <w:pPr>
              <w:pStyle w:val="TableParagraph"/>
              <w:spacing w:line="250" w:lineRule="exact"/>
              <w:ind w:left="156" w:right="152" w:firstLine="0"/>
              <w:jc w:val="center"/>
            </w:pPr>
            <w:r>
              <w:t>CFO</w:t>
            </w:r>
          </w:p>
        </w:tc>
        <w:tc>
          <w:tcPr>
            <w:tcW w:w="1702" w:type="dxa"/>
          </w:tcPr>
          <w:p w:rsidR="002C4C57" w:rsidRDefault="00430135">
            <w:pPr>
              <w:pStyle w:val="TableParagraph"/>
              <w:ind w:left="315" w:right="308" w:firstLine="0"/>
              <w:jc w:val="center"/>
            </w:pPr>
            <w:r>
              <w:t>Board 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</w:tr>
      <w:tr w:rsidR="002C4C57" w:rsidTr="00DF3096">
        <w:trPr>
          <w:trHeight w:val="1812"/>
        </w:trPr>
        <w:tc>
          <w:tcPr>
            <w:tcW w:w="1630" w:type="dxa"/>
          </w:tcPr>
          <w:p w:rsidR="002C4C57" w:rsidRDefault="00430135">
            <w:pPr>
              <w:pStyle w:val="TableParagraph"/>
              <w:ind w:left="165" w:right="155" w:firstLine="0"/>
              <w:jc w:val="center"/>
            </w:pPr>
            <w:r>
              <w:t>Environment,</w:t>
            </w:r>
            <w:r>
              <w:rPr>
                <w:spacing w:val="-59"/>
              </w:rPr>
              <w:t xml:space="preserve"> </w:t>
            </w:r>
            <w:r>
              <w:t>Social and</w:t>
            </w:r>
            <w:r>
              <w:rPr>
                <w:spacing w:val="1"/>
              </w:rPr>
              <w:t xml:space="preserve"> </w:t>
            </w:r>
            <w:r>
              <w:t>Governance</w:t>
            </w:r>
          </w:p>
        </w:tc>
        <w:tc>
          <w:tcPr>
            <w:tcW w:w="3671" w:type="dxa"/>
          </w:tcPr>
          <w:p w:rsidR="002C4C57" w:rsidRDefault="00430135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line="248" w:lineRule="exact"/>
              <w:jc w:val="both"/>
            </w:pPr>
            <w:r>
              <w:t>CSR</w:t>
            </w:r>
            <w:r>
              <w:rPr>
                <w:spacing w:val="-2"/>
              </w:rPr>
              <w:t xml:space="preserve"> </w:t>
            </w:r>
            <w:r>
              <w:t>Initiatives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impact</w:t>
            </w:r>
          </w:p>
          <w:p w:rsidR="002C4C57" w:rsidRDefault="00430135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1"/>
              <w:ind w:right="94"/>
              <w:jc w:val="both"/>
            </w:pPr>
            <w:r>
              <w:t>Performance on Health, Safety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62"/>
              </w:rPr>
              <w:t xml:space="preserve"> </w:t>
            </w:r>
          </w:p>
          <w:p w:rsidR="002C4C57" w:rsidRDefault="002C4C57" w:rsidP="008E37DC">
            <w:pPr>
              <w:pStyle w:val="TableParagraph"/>
              <w:tabs>
                <w:tab w:val="left" w:pos="497"/>
              </w:tabs>
              <w:ind w:left="496" w:right="91" w:firstLine="0"/>
              <w:jc w:val="both"/>
            </w:pPr>
          </w:p>
        </w:tc>
        <w:tc>
          <w:tcPr>
            <w:tcW w:w="2067" w:type="dxa"/>
          </w:tcPr>
          <w:p w:rsidR="002C4C57" w:rsidRDefault="00D94484">
            <w:pPr>
              <w:pStyle w:val="TableParagraph"/>
              <w:ind w:left="114" w:right="107" w:hanging="1"/>
              <w:jc w:val="center"/>
            </w:pPr>
            <w:r>
              <w:t>CS</w:t>
            </w:r>
          </w:p>
        </w:tc>
        <w:tc>
          <w:tcPr>
            <w:tcW w:w="1702" w:type="dxa"/>
          </w:tcPr>
          <w:p w:rsidR="00D94484" w:rsidRDefault="00430135" w:rsidP="00D94484">
            <w:pPr>
              <w:pStyle w:val="TableParagraph"/>
              <w:ind w:left="286" w:right="276" w:hanging="3"/>
              <w:jc w:val="center"/>
            </w:pPr>
            <w:r>
              <w:t>Board 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1"/>
              </w:rPr>
              <w:t xml:space="preserve"> </w:t>
            </w:r>
            <w:r>
              <w:t>Meeting,</w:t>
            </w:r>
            <w:r>
              <w:rPr>
                <w:spacing w:val="1"/>
              </w:rPr>
              <w:t xml:space="preserve"> </w:t>
            </w:r>
            <w:r>
              <w:t>periodical</w:t>
            </w:r>
            <w:r>
              <w:rPr>
                <w:spacing w:val="1"/>
              </w:rPr>
              <w:t xml:space="preserve"> </w:t>
            </w:r>
            <w:r>
              <w:t>updates.</w:t>
            </w:r>
            <w:r>
              <w:rPr>
                <w:spacing w:val="1"/>
              </w:rPr>
              <w:t xml:space="preserve"> </w:t>
            </w:r>
            <w:r>
              <w:t>CSR</w:t>
            </w:r>
            <w:r>
              <w:rPr>
                <w:spacing w:val="-1"/>
              </w:rPr>
              <w:t xml:space="preserve"> </w:t>
            </w:r>
          </w:p>
          <w:p w:rsidR="00D94484" w:rsidRDefault="00430135" w:rsidP="00D94484">
            <w:pPr>
              <w:pStyle w:val="TableParagraph"/>
              <w:ind w:left="205" w:right="199" w:firstLine="1"/>
              <w:jc w:val="center"/>
            </w:pPr>
            <w:r>
              <w:t>Committee</w:t>
            </w:r>
            <w:r>
              <w:rPr>
                <w:spacing w:val="1"/>
              </w:rPr>
              <w:t xml:space="preserve"> </w:t>
            </w:r>
          </w:p>
          <w:p w:rsidR="002C4C57" w:rsidRDefault="002C4C57">
            <w:pPr>
              <w:pStyle w:val="TableParagraph"/>
              <w:spacing w:line="234" w:lineRule="exact"/>
              <w:ind w:left="312" w:right="308" w:firstLine="0"/>
              <w:jc w:val="center"/>
            </w:pPr>
          </w:p>
        </w:tc>
      </w:tr>
      <w:tr w:rsidR="002C4C57" w:rsidTr="00DF3096">
        <w:trPr>
          <w:trHeight w:val="1894"/>
        </w:trPr>
        <w:tc>
          <w:tcPr>
            <w:tcW w:w="1630" w:type="dxa"/>
          </w:tcPr>
          <w:p w:rsidR="002C4C57" w:rsidRDefault="00430135">
            <w:pPr>
              <w:pStyle w:val="TableParagraph"/>
              <w:ind w:left="232" w:right="223" w:firstLine="98"/>
              <w:jc w:val="both"/>
            </w:pPr>
            <w:r>
              <w:t>Legal and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Compliance</w:t>
            </w:r>
          </w:p>
        </w:tc>
        <w:tc>
          <w:tcPr>
            <w:tcW w:w="3671" w:type="dxa"/>
          </w:tcPr>
          <w:p w:rsidR="002C4C57" w:rsidRDefault="0043013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7"/>
              <w:jc w:val="both"/>
            </w:pPr>
            <w:r>
              <w:t>Compliances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laws</w:t>
            </w:r>
          </w:p>
          <w:p w:rsidR="002C4C57" w:rsidRDefault="0043013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2279"/>
              </w:tabs>
              <w:ind w:right="96"/>
              <w:jc w:val="both"/>
            </w:pPr>
            <w:r>
              <w:t>Compliance</w:t>
            </w:r>
            <w:r>
              <w:tab/>
            </w:r>
            <w:r>
              <w:rPr>
                <w:spacing w:val="-1"/>
              </w:rPr>
              <w:t>Management</w:t>
            </w:r>
            <w:r>
              <w:rPr>
                <w:spacing w:val="-59"/>
              </w:rPr>
              <w:t xml:space="preserve"> </w:t>
            </w:r>
            <w:r>
              <w:t>System</w:t>
            </w:r>
          </w:p>
          <w:p w:rsidR="002C4C57" w:rsidRDefault="00430135" w:rsidP="00DF3096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3"/>
              <w:jc w:val="both"/>
            </w:pP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undertaken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9"/>
              </w:rPr>
              <w:t xml:space="preserve"> </w:t>
            </w:r>
            <w:r>
              <w:t>Registrars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Transfer</w:t>
            </w:r>
            <w:r>
              <w:rPr>
                <w:spacing w:val="1"/>
              </w:rPr>
              <w:t xml:space="preserve"> </w:t>
            </w:r>
            <w:r>
              <w:t>Agent</w:t>
            </w:r>
            <w:r>
              <w:rPr>
                <w:spacing w:val="-59"/>
              </w:rPr>
              <w:t xml:space="preserve"> </w:t>
            </w:r>
            <w:r>
              <w:t>(RTA)</w:t>
            </w:r>
          </w:p>
        </w:tc>
        <w:tc>
          <w:tcPr>
            <w:tcW w:w="2067" w:type="dxa"/>
          </w:tcPr>
          <w:p w:rsidR="002C4C57" w:rsidRDefault="00430135" w:rsidP="00DF3096">
            <w:pPr>
              <w:pStyle w:val="TableParagraph"/>
              <w:ind w:left="169" w:right="161" w:hanging="3"/>
              <w:jc w:val="center"/>
            </w:pPr>
            <w:r>
              <w:t>CS, Legal head,</w:t>
            </w:r>
            <w:r>
              <w:rPr>
                <w:spacing w:val="1"/>
              </w:rPr>
              <w:t xml:space="preserve"> </w:t>
            </w:r>
            <w:r>
              <w:t>Representative of</w:t>
            </w:r>
            <w:r>
              <w:rPr>
                <w:spacing w:val="-60"/>
              </w:rPr>
              <w:t xml:space="preserve"> </w:t>
            </w:r>
            <w:r>
              <w:t>RTA</w:t>
            </w:r>
          </w:p>
        </w:tc>
        <w:tc>
          <w:tcPr>
            <w:tcW w:w="1702" w:type="dxa"/>
          </w:tcPr>
          <w:p w:rsidR="002C4C57" w:rsidRDefault="00430135">
            <w:pPr>
              <w:pStyle w:val="TableParagraph"/>
              <w:ind w:left="315" w:right="308" w:firstLine="0"/>
              <w:jc w:val="center"/>
            </w:pPr>
            <w:r>
              <w:t>Board /</w:t>
            </w:r>
            <w:r>
              <w:rPr>
                <w:spacing w:val="1"/>
              </w:rPr>
              <w:t xml:space="preserve"> </w:t>
            </w:r>
            <w:r>
              <w:t>Committee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</w:tr>
      <w:tr w:rsidR="002C4C57" w:rsidTr="00D94484">
        <w:trPr>
          <w:trHeight w:val="594"/>
        </w:trPr>
        <w:tc>
          <w:tcPr>
            <w:tcW w:w="1630" w:type="dxa"/>
          </w:tcPr>
          <w:p w:rsidR="002C4C57" w:rsidRDefault="00430135">
            <w:pPr>
              <w:pStyle w:val="TableParagraph"/>
              <w:spacing w:line="242" w:lineRule="auto"/>
              <w:ind w:left="405" w:right="254" w:hanging="123"/>
            </w:pPr>
            <w:r>
              <w:t>Regulatory</w:t>
            </w:r>
            <w:r>
              <w:rPr>
                <w:spacing w:val="-59"/>
              </w:rPr>
              <w:t xml:space="preserve"> </w:t>
            </w:r>
            <w:r>
              <w:t>Updates</w:t>
            </w:r>
          </w:p>
        </w:tc>
        <w:tc>
          <w:tcPr>
            <w:tcW w:w="3671" w:type="dxa"/>
          </w:tcPr>
          <w:p w:rsidR="002C4C57" w:rsidRDefault="0043013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2" w:lineRule="auto"/>
              <w:ind w:right="94"/>
            </w:pPr>
            <w:r>
              <w:t>Amendments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Schedule</w:t>
            </w:r>
            <w:r>
              <w:rPr>
                <w:spacing w:val="22"/>
              </w:rPr>
              <w:t xml:space="preserve"> </w:t>
            </w:r>
            <w:r>
              <w:t>III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Companies Act,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  <w:p w:rsidR="002C4C57" w:rsidRDefault="002C4C57" w:rsidP="00D94484">
            <w:pPr>
              <w:pStyle w:val="TableParagraph"/>
              <w:tabs>
                <w:tab w:val="left" w:pos="467"/>
                <w:tab w:val="left" w:pos="468"/>
              </w:tabs>
              <w:ind w:right="94" w:firstLine="0"/>
            </w:pPr>
          </w:p>
        </w:tc>
        <w:tc>
          <w:tcPr>
            <w:tcW w:w="2067" w:type="dxa"/>
          </w:tcPr>
          <w:p w:rsidR="00D94484" w:rsidRDefault="00D94484" w:rsidP="00D94484">
            <w:pPr>
              <w:pStyle w:val="TableParagraph"/>
              <w:ind w:left="126" w:right="118" w:firstLine="2"/>
              <w:jc w:val="center"/>
            </w:pPr>
            <w:r>
              <w:t>CS</w:t>
            </w:r>
          </w:p>
          <w:p w:rsidR="002C4C57" w:rsidRDefault="002C4C57">
            <w:pPr>
              <w:pStyle w:val="TableParagraph"/>
              <w:spacing w:line="254" w:lineRule="exact"/>
              <w:ind w:left="159" w:right="152" w:firstLine="0"/>
              <w:jc w:val="center"/>
            </w:pPr>
          </w:p>
        </w:tc>
        <w:tc>
          <w:tcPr>
            <w:tcW w:w="1702" w:type="dxa"/>
          </w:tcPr>
          <w:p w:rsidR="002C4C57" w:rsidRDefault="00430135">
            <w:pPr>
              <w:pStyle w:val="TableParagraph"/>
              <w:spacing w:line="242" w:lineRule="auto"/>
              <w:ind w:left="457" w:right="293" w:hanging="142"/>
            </w:pPr>
            <w:r>
              <w:t>Committee</w:t>
            </w:r>
            <w:r>
              <w:rPr>
                <w:spacing w:val="-59"/>
              </w:rPr>
              <w:t xml:space="preserve"> </w:t>
            </w:r>
            <w:r>
              <w:t>Meeting</w:t>
            </w:r>
          </w:p>
        </w:tc>
      </w:tr>
    </w:tbl>
    <w:p w:rsidR="002C4C57" w:rsidRDefault="002C4C57">
      <w:pPr>
        <w:pStyle w:val="BodyText"/>
        <w:spacing w:before="9"/>
        <w:rPr>
          <w:sz w:val="23"/>
        </w:rPr>
      </w:pPr>
    </w:p>
    <w:p w:rsidR="002C4C57" w:rsidRDefault="00430135">
      <w:pPr>
        <w:pStyle w:val="BodyText"/>
        <w:spacing w:line="259" w:lineRule="auto"/>
        <w:ind w:left="100"/>
      </w:pPr>
      <w:r>
        <w:t>Independent</w:t>
      </w:r>
      <w:r>
        <w:rPr>
          <w:spacing w:val="52"/>
        </w:rPr>
        <w:t xml:space="preserve"> </w:t>
      </w:r>
      <w:r>
        <w:t>directors</w:t>
      </w:r>
      <w:r>
        <w:rPr>
          <w:spacing w:val="55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spent</w:t>
      </w:r>
      <w:r>
        <w:rPr>
          <w:spacing w:val="54"/>
        </w:rPr>
        <w:t xml:space="preserve"> </w:t>
      </w:r>
      <w:r>
        <w:t>approximately</w:t>
      </w:r>
      <w:r>
        <w:rPr>
          <w:spacing w:val="53"/>
        </w:rPr>
        <w:t xml:space="preserve"> </w:t>
      </w:r>
      <w:r w:rsidR="00DF3096">
        <w:t>8</w:t>
      </w:r>
      <w:r>
        <w:rPr>
          <w:spacing w:val="53"/>
        </w:rPr>
        <w:t xml:space="preserve"> </w:t>
      </w:r>
      <w:r>
        <w:t>hours</w:t>
      </w:r>
      <w:r>
        <w:rPr>
          <w:spacing w:val="54"/>
        </w:rPr>
        <w:t xml:space="preserve"> </w:t>
      </w:r>
      <w:r>
        <w:t>during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year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part</w:t>
      </w:r>
      <w:r>
        <w:rPr>
          <w:spacing w:val="5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familiarisation</w:t>
      </w:r>
      <w:r>
        <w:rPr>
          <w:spacing w:val="-1"/>
        </w:rPr>
        <w:t xml:space="preserve"> </w:t>
      </w:r>
      <w:r>
        <w:t>program.</w:t>
      </w:r>
    </w:p>
    <w:sectPr w:rsidR="002C4C57">
      <w:pgSz w:w="11910" w:h="16840"/>
      <w:pgMar w:top="1460" w:right="1280" w:bottom="1200" w:left="1340" w:header="27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6" w:rsidRDefault="00033B26">
      <w:r>
        <w:separator/>
      </w:r>
    </w:p>
  </w:endnote>
  <w:endnote w:type="continuationSeparator" w:id="0">
    <w:p w:rsidR="00033B26" w:rsidRDefault="0003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57" w:rsidRDefault="00033B2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1pt;margin-top:780.9pt;width:54.4pt;height:13.05pt;z-index:-251658752;mso-position-horizontal-relative:page;mso-position-vertical-relative:page" filled="f" stroked="f">
          <v:textbox inset="0,0,0,0">
            <w:txbxContent>
              <w:p w:rsidR="002C4C57" w:rsidRDefault="0043013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87C8B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6" w:rsidRDefault="00033B26">
      <w:r>
        <w:separator/>
      </w:r>
    </w:p>
  </w:footnote>
  <w:footnote w:type="continuationSeparator" w:id="0">
    <w:p w:rsidR="00033B26" w:rsidRDefault="0003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84" w:rsidRPr="00D94484" w:rsidRDefault="00D94484" w:rsidP="00D94484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40"/>
        <w:szCs w:val="40"/>
      </w:rPr>
    </w:pPr>
    <w:r w:rsidRPr="00D94484">
      <w:rPr>
        <w:rFonts w:ascii="Times New Roman" w:eastAsia="Times New Roman" w:hAnsi="Times New Roman" w:cs="Times New Roman"/>
        <w:sz w:val="40"/>
        <w:szCs w:val="40"/>
      </w:rPr>
      <w:t>SWADESHI POLYTEX LIMITED</w:t>
    </w:r>
  </w:p>
  <w:p w:rsidR="00D94484" w:rsidRPr="00D94484" w:rsidRDefault="00D94484" w:rsidP="00D94484">
    <w:pPr>
      <w:widowControl/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r w:rsidRPr="00D94484">
      <w:rPr>
        <w:rFonts w:ascii="Times New Roman" w:eastAsia="Times New Roman" w:hAnsi="Times New Roman" w:cs="Times New Roman"/>
      </w:rPr>
      <w:t>Regd Office: Kavi Nagar, Industrial Area, Ghaziabad-201002 (U.P.)</w:t>
    </w:r>
  </w:p>
  <w:p w:rsidR="00D94484" w:rsidRPr="00D94484" w:rsidRDefault="00D94484" w:rsidP="00D94484">
    <w:pPr>
      <w:widowControl/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r w:rsidRPr="00D94484">
      <w:rPr>
        <w:rFonts w:ascii="Times New Roman" w:eastAsia="Times New Roman" w:hAnsi="Times New Roman" w:cs="Times New Roman"/>
      </w:rPr>
      <w:t xml:space="preserve">Tele/Fax: +91-120-2701472, Email: </w:t>
    </w:r>
    <w:hyperlink r:id="rId1" w:history="1">
      <w:r w:rsidRPr="00D94484">
        <w:rPr>
          <w:rFonts w:ascii="Times New Roman" w:eastAsia="Times New Roman" w:hAnsi="Times New Roman" w:cs="Times New Roman"/>
          <w:color w:val="0000FF" w:themeColor="hyperlink"/>
          <w:u w:val="single"/>
        </w:rPr>
        <w:t>info@splindia.co.in</w:t>
      </w:r>
    </w:hyperlink>
    <w:r w:rsidRPr="00D94484">
      <w:rPr>
        <w:rFonts w:ascii="Times New Roman" w:eastAsia="Times New Roman" w:hAnsi="Times New Roman" w:cs="Times New Roman"/>
      </w:rPr>
      <w:t xml:space="preserve">, Website: </w:t>
    </w:r>
    <w:hyperlink r:id="rId2" w:history="1">
      <w:r w:rsidRPr="00D94484">
        <w:rPr>
          <w:rFonts w:ascii="Times New Roman" w:eastAsia="Times New Roman" w:hAnsi="Times New Roman" w:cs="Times New Roman"/>
          <w:color w:val="0000FF" w:themeColor="hyperlink"/>
          <w:u w:val="single"/>
        </w:rPr>
        <w:t>www.splindia.co.in</w:t>
      </w:r>
    </w:hyperlink>
  </w:p>
  <w:p w:rsidR="00D94484" w:rsidRPr="00D94484" w:rsidRDefault="00D94484" w:rsidP="00D94484">
    <w:pPr>
      <w:widowControl/>
      <w:pBdr>
        <w:bottom w:val="single" w:sz="4" w:space="1" w:color="auto"/>
      </w:pBdr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r w:rsidRPr="00D94484">
      <w:rPr>
        <w:rFonts w:ascii="Times New Roman" w:eastAsia="Times New Roman" w:hAnsi="Times New Roman" w:cs="Times New Roman"/>
      </w:rPr>
      <w:t>CIN: L25209UP1970PLC003320</w:t>
    </w:r>
  </w:p>
  <w:p w:rsidR="002C4C57" w:rsidRDefault="002C4C5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A0E"/>
    <w:multiLevelType w:val="hybridMultilevel"/>
    <w:tmpl w:val="8984F734"/>
    <w:lvl w:ilvl="0" w:tplc="0D5CCCC0">
      <w:numFmt w:val="bullet"/>
      <w:lvlText w:val="-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7CC903A">
      <w:numFmt w:val="bullet"/>
      <w:lvlText w:val="•"/>
      <w:lvlJc w:val="left"/>
      <w:pPr>
        <w:ind w:left="780" w:hanging="361"/>
      </w:pPr>
      <w:rPr>
        <w:rFonts w:hint="default"/>
        <w:lang w:val="en-US" w:eastAsia="en-US" w:bidi="ar-SA"/>
      </w:rPr>
    </w:lvl>
    <w:lvl w:ilvl="2" w:tplc="8698EE84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 w:tplc="C15EBCB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E7C4D450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5" w:tplc="BFA0130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6" w:tplc="B8B22120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1C74F09E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5C906B68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A27D9C"/>
    <w:multiLevelType w:val="hybridMultilevel"/>
    <w:tmpl w:val="2684135E"/>
    <w:lvl w:ilvl="0" w:tplc="61627DFA">
      <w:numFmt w:val="bullet"/>
      <w:lvlText w:val="-"/>
      <w:lvlJc w:val="left"/>
      <w:pPr>
        <w:ind w:left="496" w:hanging="39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A423FC2">
      <w:numFmt w:val="bullet"/>
      <w:lvlText w:val="•"/>
      <w:lvlJc w:val="left"/>
      <w:pPr>
        <w:ind w:left="816" w:hanging="390"/>
      </w:pPr>
      <w:rPr>
        <w:rFonts w:hint="default"/>
        <w:lang w:val="en-US" w:eastAsia="en-US" w:bidi="ar-SA"/>
      </w:rPr>
    </w:lvl>
    <w:lvl w:ilvl="2" w:tplc="53AE9004">
      <w:numFmt w:val="bullet"/>
      <w:lvlText w:val="•"/>
      <w:lvlJc w:val="left"/>
      <w:pPr>
        <w:ind w:left="1132" w:hanging="390"/>
      </w:pPr>
      <w:rPr>
        <w:rFonts w:hint="default"/>
        <w:lang w:val="en-US" w:eastAsia="en-US" w:bidi="ar-SA"/>
      </w:rPr>
    </w:lvl>
    <w:lvl w:ilvl="3" w:tplc="6B8E87F8">
      <w:numFmt w:val="bullet"/>
      <w:lvlText w:val="•"/>
      <w:lvlJc w:val="left"/>
      <w:pPr>
        <w:ind w:left="1448" w:hanging="390"/>
      </w:pPr>
      <w:rPr>
        <w:rFonts w:hint="default"/>
        <w:lang w:val="en-US" w:eastAsia="en-US" w:bidi="ar-SA"/>
      </w:rPr>
    </w:lvl>
    <w:lvl w:ilvl="4" w:tplc="93FCBB42">
      <w:numFmt w:val="bullet"/>
      <w:lvlText w:val="•"/>
      <w:lvlJc w:val="left"/>
      <w:pPr>
        <w:ind w:left="1764" w:hanging="390"/>
      </w:pPr>
      <w:rPr>
        <w:rFonts w:hint="default"/>
        <w:lang w:val="en-US" w:eastAsia="en-US" w:bidi="ar-SA"/>
      </w:rPr>
    </w:lvl>
    <w:lvl w:ilvl="5" w:tplc="6B1EBF3E">
      <w:numFmt w:val="bullet"/>
      <w:lvlText w:val="•"/>
      <w:lvlJc w:val="left"/>
      <w:pPr>
        <w:ind w:left="2080" w:hanging="390"/>
      </w:pPr>
      <w:rPr>
        <w:rFonts w:hint="default"/>
        <w:lang w:val="en-US" w:eastAsia="en-US" w:bidi="ar-SA"/>
      </w:rPr>
    </w:lvl>
    <w:lvl w:ilvl="6" w:tplc="3054633A">
      <w:numFmt w:val="bullet"/>
      <w:lvlText w:val="•"/>
      <w:lvlJc w:val="left"/>
      <w:pPr>
        <w:ind w:left="2396" w:hanging="390"/>
      </w:pPr>
      <w:rPr>
        <w:rFonts w:hint="default"/>
        <w:lang w:val="en-US" w:eastAsia="en-US" w:bidi="ar-SA"/>
      </w:rPr>
    </w:lvl>
    <w:lvl w:ilvl="7" w:tplc="082846CA">
      <w:numFmt w:val="bullet"/>
      <w:lvlText w:val="•"/>
      <w:lvlJc w:val="left"/>
      <w:pPr>
        <w:ind w:left="2712" w:hanging="390"/>
      </w:pPr>
      <w:rPr>
        <w:rFonts w:hint="default"/>
        <w:lang w:val="en-US" w:eastAsia="en-US" w:bidi="ar-SA"/>
      </w:rPr>
    </w:lvl>
    <w:lvl w:ilvl="8" w:tplc="12F6D3DC">
      <w:numFmt w:val="bullet"/>
      <w:lvlText w:val="•"/>
      <w:lvlJc w:val="left"/>
      <w:pPr>
        <w:ind w:left="3028" w:hanging="390"/>
      </w:pPr>
      <w:rPr>
        <w:rFonts w:hint="default"/>
        <w:lang w:val="en-US" w:eastAsia="en-US" w:bidi="ar-SA"/>
      </w:rPr>
    </w:lvl>
  </w:abstractNum>
  <w:abstractNum w:abstractNumId="2" w15:restartNumberingAfterBreak="0">
    <w:nsid w:val="18BD3531"/>
    <w:multiLevelType w:val="hybridMultilevel"/>
    <w:tmpl w:val="D03E6836"/>
    <w:lvl w:ilvl="0" w:tplc="4D46F7AC">
      <w:numFmt w:val="bullet"/>
      <w:lvlText w:val="-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D704C86">
      <w:numFmt w:val="bullet"/>
      <w:lvlText w:val="•"/>
      <w:lvlJc w:val="left"/>
      <w:pPr>
        <w:ind w:left="780" w:hanging="361"/>
      </w:pPr>
      <w:rPr>
        <w:rFonts w:hint="default"/>
        <w:lang w:val="en-US" w:eastAsia="en-US" w:bidi="ar-SA"/>
      </w:rPr>
    </w:lvl>
    <w:lvl w:ilvl="2" w:tplc="081A1572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 w:tplc="1034E85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E9D05426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5" w:tplc="B08805EC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6" w:tplc="6E844F54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E37237CA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B6461F34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FF33F3F"/>
    <w:multiLevelType w:val="hybridMultilevel"/>
    <w:tmpl w:val="0C6A7C3E"/>
    <w:lvl w:ilvl="0" w:tplc="FADC5CE4">
      <w:numFmt w:val="bullet"/>
      <w:lvlText w:val="-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B4688FA">
      <w:numFmt w:val="bullet"/>
      <w:lvlText w:val="•"/>
      <w:lvlJc w:val="left"/>
      <w:pPr>
        <w:ind w:left="780" w:hanging="361"/>
      </w:pPr>
      <w:rPr>
        <w:rFonts w:hint="default"/>
        <w:lang w:val="en-US" w:eastAsia="en-US" w:bidi="ar-SA"/>
      </w:rPr>
    </w:lvl>
    <w:lvl w:ilvl="2" w:tplc="763E8BAC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 w:tplc="AB985B2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CD583C8A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5" w:tplc="0130066C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6" w:tplc="AF82A6F2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27ECFD4C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E3B087AE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7C76D1F"/>
    <w:multiLevelType w:val="hybridMultilevel"/>
    <w:tmpl w:val="2D9AE050"/>
    <w:lvl w:ilvl="0" w:tplc="FA287CD2">
      <w:numFmt w:val="bullet"/>
      <w:lvlText w:val="-"/>
      <w:lvlJc w:val="left"/>
      <w:pPr>
        <w:ind w:left="467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CDA36CE">
      <w:numFmt w:val="bullet"/>
      <w:lvlText w:val="•"/>
      <w:lvlJc w:val="left"/>
      <w:pPr>
        <w:ind w:left="780" w:hanging="361"/>
      </w:pPr>
      <w:rPr>
        <w:rFonts w:hint="default"/>
        <w:lang w:val="en-US" w:eastAsia="en-US" w:bidi="ar-SA"/>
      </w:rPr>
    </w:lvl>
    <w:lvl w:ilvl="2" w:tplc="D63A29F4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 w:tplc="D650654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4EB04A4A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5" w:tplc="525AA5D0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6" w:tplc="BAF03F26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7" w:tplc="0E32D0C4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8" w:tplc="82D0DD58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C57"/>
    <w:rsid w:val="00033B26"/>
    <w:rsid w:val="000C634F"/>
    <w:rsid w:val="002C4C57"/>
    <w:rsid w:val="003D5532"/>
    <w:rsid w:val="00430135"/>
    <w:rsid w:val="007439EA"/>
    <w:rsid w:val="008E37DC"/>
    <w:rsid w:val="00C87C8B"/>
    <w:rsid w:val="00CB5A47"/>
    <w:rsid w:val="00CE1380"/>
    <w:rsid w:val="00D94484"/>
    <w:rsid w:val="00DF3096"/>
    <w:rsid w:val="00E42353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6E6ACB"/>
  <w15:docId w15:val="{3301B8F3-D0E2-45AF-A119-B46D18F9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4"/>
      <w:ind w:left="458" w:right="513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1"/>
    </w:pPr>
  </w:style>
  <w:style w:type="paragraph" w:styleId="Header">
    <w:name w:val="header"/>
    <w:basedOn w:val="Normal"/>
    <w:link w:val="HeaderChar"/>
    <w:uiPriority w:val="99"/>
    <w:unhideWhenUsed/>
    <w:rsid w:val="00D94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8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94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8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lindia.co.in" TargetMode="External"/><Relationship Id="rId1" Type="http://schemas.openxmlformats.org/officeDocument/2006/relationships/hyperlink" Target="mailto:info@spl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Bhargav Parekh</dc:creator>
  <cp:lastModifiedBy>User</cp:lastModifiedBy>
  <cp:revision>6</cp:revision>
  <dcterms:created xsi:type="dcterms:W3CDTF">2023-03-15T05:32:00Z</dcterms:created>
  <dcterms:modified xsi:type="dcterms:W3CDTF">2023-03-15T08:11:00Z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